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shd w:val="clear" w:color="auto" w:fill="auto"/>
        <w:spacing w:after="0"/>
        <w:ind w:firstLine="0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Приложение №8</w:t>
      </w:r>
    </w:p>
    <w:p>
      <w:pPr>
        <w:pStyle w:val="832"/>
        <w:shd w:val="clear" w:color="auto" w:fill="auto"/>
        <w:tabs>
          <w:tab w:val="left" w:pos="5626" w:leader="none"/>
        </w:tabs>
        <w:spacing w:after="0"/>
        <w:ind w:firstLine="0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к Единой учетной политике</w:t>
      </w:r>
    </w:p>
    <w:p>
      <w:pPr>
        <w:pStyle w:val="832"/>
        <w:shd w:val="clear" w:color="auto" w:fill="auto"/>
        <w:tabs>
          <w:tab w:val="left" w:pos="5626" w:leader="none"/>
        </w:tabs>
        <w:spacing w:after="0"/>
        <w:ind w:firstLine="0"/>
        <w:jc w:val="right"/>
        <w:rPr>
          <w:sz w:val="24"/>
          <w:szCs w:val="24"/>
        </w:rPr>
      </w:pPr>
      <w:r>
        <w:rPr>
          <w:sz w:val="22"/>
          <w:szCs w:val="24"/>
        </w:rPr>
        <w:t xml:space="preserve">№__________от____________</w:t>
      </w:r>
    </w:p>
    <w:p>
      <w:pPr>
        <w:pStyle w:val="832"/>
        <w:shd w:val="clear" w:color="auto" w:fill="auto"/>
        <w:spacing w:after="26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832"/>
        <w:shd w:val="clear" w:color="auto" w:fill="auto"/>
        <w:spacing w:after="26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формирования и использования резервов предстоящих расходов</w:t>
      </w:r>
    </w:p>
    <w:p>
      <w:pPr>
        <w:pStyle w:val="832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Общие положения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учете формируются следующие резервы: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страхование;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обязательствам учреждения, возникающим по фактам хозяйственной деятельности (сделкам, опера</w:t>
      </w:r>
      <w:r>
        <w:rPr>
          <w:sz w:val="24"/>
          <w:szCs w:val="24"/>
        </w:rPr>
        <w:t xml:space="preserve">циям), по начислению которых существует на отчетную дату неопределенность по их размеру из-за отсутствия первичных учетных документов.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Резерв используется только на покрытие тех расходов, в отношении которых он был создан.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Признание в учете расходов, в отн</w:t>
      </w:r>
      <w:r>
        <w:rPr>
          <w:sz w:val="24"/>
          <w:szCs w:val="24"/>
        </w:rPr>
        <w:t xml:space="preserve">ошении которых сформирован резерв, осуществляется за счет суммы резерва. При его недостаточности соответствующие суммы отражаются в составе расходов текущего периода.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отражения конкретных резервов на счете 0 401 60 000 вводятся аналитические коды в пор</w:t>
      </w:r>
      <w:r>
        <w:rPr>
          <w:sz w:val="24"/>
          <w:szCs w:val="24"/>
        </w:rPr>
        <w:t xml:space="preserve">ядке, определенном Рабочим планом счетов.</w:t>
      </w:r>
    </w:p>
    <w:p>
      <w:pPr>
        <w:pStyle w:val="832"/>
        <w:shd w:val="clear" w:color="auto" w:fill="auto"/>
        <w:spacing w:after="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Резерв для оплаты отпусков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расчета резерва для оплаты отпусков осуществляется оценка обязательств по состоянию на конец каждого расчетного периода - календарного года (далее - расчетный период).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Резерв н</w:t>
      </w:r>
      <w:r>
        <w:rPr>
          <w:sz w:val="24"/>
          <w:szCs w:val="24"/>
        </w:rPr>
        <w:t xml:space="preserve">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дату.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число неиспользованных дней отпуска включаются только те дни, право на которые работники уже заработал</w:t>
      </w:r>
      <w:r>
        <w:rPr>
          <w:sz w:val="24"/>
          <w:szCs w:val="24"/>
        </w:rPr>
        <w:t xml:space="preserve">и, но не использовали на конец расчетного периода.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форме, приведенной в приложении №1 к настоящему Порядку.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Резерв для оплаты отпус</w:t>
      </w:r>
      <w:r>
        <w:rPr>
          <w:sz w:val="24"/>
          <w:szCs w:val="24"/>
        </w:rPr>
        <w:t xml:space="preserve">ков состоит из определяемых отдельно обязательств:</w:t>
      </w:r>
    </w:p>
    <w:p>
      <w:pPr>
        <w:pStyle w:val="832"/>
        <w:numPr>
          <w:numId w:val="1"/>
          <w:ilvl w:val="0"/>
        </w:numPr>
        <w:shd w:val="clear" w:color="auto" w:fill="auto"/>
        <w:tabs>
          <w:tab w:val="left" w:pos="763" w:leader="none"/>
        </w:tabs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оплату отпусков работникам;</w:t>
      </w:r>
    </w:p>
    <w:p>
      <w:pPr>
        <w:pStyle w:val="832"/>
        <w:numPr>
          <w:numId w:val="1"/>
          <w:ilvl w:val="0"/>
        </w:numPr>
        <w:shd w:val="clear" w:color="auto" w:fill="auto"/>
        <w:tabs>
          <w:tab w:val="left" w:pos="763" w:leader="none"/>
        </w:tabs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уплату страховых взносов.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резерва на оплату отпусков производится в целом по формуле:</w:t>
      </w:r>
    </w:p>
    <w:p>
      <w:pPr>
        <w:pStyle w:val="832"/>
        <w:shd w:val="clear" w:color="auto" w:fill="auto"/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 =К х СЗП,</w:t>
      </w:r>
    </w:p>
    <w:p>
      <w:pPr>
        <w:pStyle w:val="832"/>
        <w:shd w:val="clear" w:color="auto" w:fill="auto"/>
        <w:spacing w:after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К - количество неиспользованных всеми сотрудником дней отпуск</w:t>
      </w:r>
      <w:r>
        <w:rPr>
          <w:sz w:val="24"/>
          <w:szCs w:val="24"/>
        </w:rPr>
        <w:t xml:space="preserve">а по состоянию на конец расчетного периода, дн.;</w:t>
      </w:r>
    </w:p>
    <w:p>
      <w:pPr>
        <w:pStyle w:val="832"/>
        <w:shd w:val="clear" w:color="auto" w:fill="auto"/>
        <w:tabs>
          <w:tab w:val="left" w:pos="2918" w:leader="none"/>
        </w:tabs>
        <w:spacing w:after="0"/>
        <w:ind w:firstLine="500"/>
        <w:jc w:val="both"/>
        <w:rPr>
          <w:sz w:val="24"/>
          <w:szCs w:val="28"/>
        </w:rPr>
      </w:pPr>
      <w:r>
        <w:rPr>
          <w:sz w:val="24"/>
          <w:szCs w:val="24"/>
          <w:lang w:val="en-US"/>
        </w:rPr>
        <w:t xml:space="preserve">C</w:t>
      </w:r>
      <w:r>
        <w:rPr>
          <w:sz w:val="24"/>
          <w:szCs w:val="24"/>
        </w:rPr>
        <w:t xml:space="preserve">ЗП - средний дневной заработок </w:t>
      </w:r>
      <w:r>
        <w:rPr>
          <w:sz w:val="24"/>
          <w:szCs w:val="24"/>
        </w:rPr>
        <w:t xml:space="preserve">в целом по учреждению</w:t>
      </w:r>
      <w:r>
        <w:rPr>
          <w:sz w:val="24"/>
          <w:szCs w:val="28"/>
        </w:rPr>
        <w:t xml:space="preserve"> определяется по формуле:</w:t>
      </w:r>
    </w:p>
    <w:p>
      <w:pPr>
        <w:pStyle w:val="832"/>
        <w:shd w:val="clear" w:color="auto" w:fill="auto"/>
        <w:tabs>
          <w:tab w:val="left" w:pos="2918" w:leader="none"/>
        </w:tabs>
        <w:spacing w:after="0"/>
        <w:ind w:firstLine="50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СЗП = ФОТ : 12 мес. : Ч : 29,3 </w:t>
      </w:r>
    </w:p>
    <w:p>
      <w:pPr>
        <w:pStyle w:val="832"/>
        <w:shd w:val="clear" w:color="auto" w:fill="auto"/>
        <w:tabs>
          <w:tab w:val="left" w:pos="2918" w:leader="none"/>
        </w:tabs>
        <w:spacing w:after="0"/>
        <w:ind w:firstLine="50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где </w:t>
      </w:r>
      <w:r>
        <w:rPr>
          <w:sz w:val="24"/>
          <w:szCs w:val="28"/>
        </w:rPr>
        <w:t xml:space="preserve">ФОТ – фонд оплаты труда в целом по учреждению за 12 месяцев, предшествующих дате расчета рез</w:t>
      </w:r>
      <w:r>
        <w:rPr>
          <w:sz w:val="24"/>
          <w:szCs w:val="28"/>
        </w:rPr>
        <w:t xml:space="preserve">ерва;</w:t>
      </w:r>
    </w:p>
    <w:p>
      <w:pPr>
        <w:pStyle w:val="832"/>
        <w:shd w:val="clear" w:color="auto" w:fill="auto"/>
        <w:tabs>
          <w:tab w:val="left" w:pos="2918" w:leader="none"/>
        </w:tabs>
        <w:spacing w:after="0"/>
        <w:ind w:firstLine="50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Ч – количество штатных единиц по штатному расписанию, действующему на дату расчета резерва;</w:t>
      </w:r>
    </w:p>
    <w:p>
      <w:pPr>
        <w:pStyle w:val="832"/>
        <w:shd w:val="clear" w:color="auto" w:fill="auto"/>
        <w:tabs>
          <w:tab w:val="left" w:pos="2918" w:leader="none"/>
        </w:tabs>
        <w:spacing w:after="0"/>
        <w:ind w:firstLine="50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29,3 – среднемесячное число календарных дней, установленное статьей 139 Трудового кодекса РФ.</w:t>
      </w:r>
    </w:p>
    <w:p>
      <w:pPr>
        <w:pStyle w:val="832"/>
        <w:shd w:val="clear" w:color="auto" w:fill="auto"/>
        <w:spacing w:after="0"/>
        <w:ind w:firstLine="499"/>
        <w:rPr>
          <w:sz w:val="24"/>
          <w:szCs w:val="24"/>
        </w:rPr>
      </w:pPr>
      <w:r>
        <w:rPr>
          <w:sz w:val="24"/>
          <w:szCs w:val="24"/>
        </w:rPr>
        <w:t xml:space="preserve">Расчет резерва по сумме страховых взносов рассчитывается в средн</w:t>
      </w:r>
      <w:r>
        <w:rPr>
          <w:sz w:val="24"/>
          <w:szCs w:val="24"/>
        </w:rPr>
        <w:t xml:space="preserve">ем по формуле:</w:t>
      </w:r>
    </w:p>
    <w:p>
      <w:pPr>
        <w:pStyle w:val="832"/>
        <w:shd w:val="clear" w:color="auto" w:fill="auto"/>
        <w:spacing w:after="0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Рсв = РО х </w:t>
      </w:r>
      <w:r>
        <w:rPr>
          <w:i/>
          <w:iCs/>
          <w:sz w:val="24"/>
          <w:szCs w:val="24"/>
        </w:rPr>
        <w:t xml:space="preserve">С,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С - ставка страховых взносов, %.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сумма резерва определяется по формуле:</w:t>
      </w:r>
    </w:p>
    <w:p>
      <w:pPr>
        <w:pStyle w:val="832"/>
        <w:shd w:val="clear" w:color="auto" w:fill="auto"/>
        <w:spacing w:after="0"/>
        <w:ind w:firstLine="5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Резерв = РО + Рсв</w:t>
      </w:r>
    </w:p>
    <w:p>
      <w:pPr>
        <w:pStyle w:val="832"/>
        <w:shd w:val="clear" w:color="auto" w:fill="auto"/>
        <w:tabs>
          <w:tab w:val="left" w:pos="4939" w:leader="none"/>
        </w:tabs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отражения резерва для оплаты отпусков в учете оформляется бухгалтерская справка ф. 0504833.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рассчитанная величина резерва для оплаты отпусков больше суммы резерва, фактически учтенной на счете, резерв увеличивается на разницу между этими величинами. Доначисленная сумма резерва относится на расходы текущего финансового года.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рассчитанная</w:t>
      </w:r>
      <w:r>
        <w:rPr>
          <w:sz w:val="24"/>
          <w:szCs w:val="24"/>
        </w:rPr>
        <w:t xml:space="preserve"> величина резерва для оплаты отпусков меньше суммы резерва, фактически учтенной на счете, резерв уменьшается на разницу между этими величинами. Сумма уменьшения резерва относится на уменьшение расходов текущего финансового года.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Инвентаризация резервов отп</w:t>
      </w:r>
      <w:r>
        <w:rPr>
          <w:sz w:val="24"/>
          <w:szCs w:val="24"/>
        </w:rPr>
        <w:t xml:space="preserve">усков и страховых взносов на резерв отпусков проводится перед составлением годовой бухгалтерской отчетности. </w:t>
      </w:r>
      <w:r>
        <w:rPr>
          <w:sz w:val="24"/>
          <w:szCs w:val="24"/>
        </w:rPr>
        <w:t xml:space="preserve">По результатам инвентаризации: в случае избыточности суммы признанного резерва предстоящих расходов по выплатам персоналу размер резерва корректиру</w:t>
      </w:r>
      <w:r>
        <w:rPr>
          <w:sz w:val="24"/>
          <w:szCs w:val="24"/>
        </w:rPr>
        <w:t xml:space="preserve">ется (уменьшается) с отнесением на расходы текущего отчетного периода; в случае нехватки суммы признанного резерва предстоящих расходов по выплатам персоналу размер резерва корректируется (увеличивается) с отнесением на расходы текущего отчетного периода</w:t>
      </w:r>
    </w:p>
    <w:p>
      <w:pPr>
        <w:pStyle w:val="832"/>
        <w:shd w:val="clear" w:color="auto" w:fill="auto"/>
        <w:spacing w:before="120" w:after="120"/>
        <w:ind w:firstLine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</w:t>
      </w:r>
      <w:r>
        <w:rPr>
          <w:b/>
          <w:sz w:val="24"/>
          <w:szCs w:val="24"/>
        </w:rPr>
        <w:t xml:space="preserve">. Резерв предстоящих расходов по оплате обязательств, по которым не поступили расчетные документы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резерв формируется ежегодно последним днем текущего финансового года. 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Резерв создается по обязательствам учреждения, возникающим по фактам хозяйственн</w:t>
      </w:r>
      <w:r>
        <w:rPr>
          <w:sz w:val="24"/>
          <w:szCs w:val="24"/>
        </w:rPr>
        <w:t xml:space="preserve">ой деятельности (сделкам, операциям), по которым на конец финансового года существует неопределенность по их размеру из-за отсутствия первичных учетных документов. Либо на отчетную дату учреждением были приняты работы, услуги, заведомо подлежащие оплате и </w:t>
      </w:r>
      <w:r>
        <w:rPr>
          <w:sz w:val="24"/>
          <w:szCs w:val="24"/>
        </w:rPr>
        <w:t xml:space="preserve">в связи с отсутствием первичных учетных документов на момент составления годовой бюджетной отчетности расходы в учете не отражены. 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Оценочное значение в виде резерва определяется на основании контрактов (договоров) обслуживаемых учреждений. Аналитический у</w:t>
      </w:r>
      <w:r>
        <w:rPr>
          <w:sz w:val="24"/>
          <w:szCs w:val="24"/>
        </w:rPr>
        <w:t xml:space="preserve">чет ведется по кодам КОСГУ в разрезе контрактов (договоров). Начисление резерва производится по состоянию на 31 декабря отчетного года.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 определения оценочного значения при формировании резерва по оплате обязательств, по которым не поступили расчетны</w:t>
      </w:r>
      <w:r>
        <w:rPr>
          <w:sz w:val="24"/>
          <w:szCs w:val="24"/>
        </w:rPr>
        <w:t xml:space="preserve">е документы, в части работ, услуг устанавливаются исходя из сумм принятых обязательств по контрактам, за минусом фактически исполненных обязательств на дату формирования резерва. 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по оплате обязательств, по которым не поступили расчетные документы</w:t>
      </w:r>
      <w:r>
        <w:rPr>
          <w:sz w:val="24"/>
          <w:szCs w:val="24"/>
        </w:rPr>
        <w:t xml:space="preserve">, отражаются в регистрах бухгалтерского учета бухгалтерской справкой (ф. 0504833). 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резерва определяется в следующем порядке: 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Роб = К – Ф, 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Роб - резерв на оплату обязательств, по которым не поступили расчетные документы; 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– сумма принятых обязательств по контракту; 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 – сумма фактически исполненных обязательств по контракту. </w:t>
      </w:r>
    </w:p>
    <w:p>
      <w:pPr>
        <w:pStyle w:val="832"/>
        <w:shd w:val="clear" w:color="auto" w:fill="auto"/>
        <w:spacing w:after="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Начисление расходов по оплате обязательств при поступлении расчетных документов в текущем финансовом году осуществляется за счет сумм сформированного</w:t>
      </w:r>
      <w:r>
        <w:rPr>
          <w:sz w:val="24"/>
          <w:szCs w:val="24"/>
        </w:rPr>
        <w:t xml:space="preserve"> резерва.</w:t>
      </w: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С.В.Ордина</w:t>
      </w:r>
      <w:bookmarkStart w:id="0" w:name="_GoBack"/>
      <w:bookmarkEnd w:id="0"/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right="200" w:firstLine="0"/>
        <w:jc w:val="right"/>
        <w:rPr>
          <w:sz w:val="22"/>
        </w:rPr>
      </w:pPr>
      <w:r>
        <w:rPr>
          <w:sz w:val="22"/>
        </w:rPr>
        <w:t xml:space="preserve">Приложение № 1 к Порядку</w:t>
      </w:r>
    </w:p>
    <w:p>
      <w:pPr>
        <w:pStyle w:val="832"/>
        <w:shd w:val="clear" w:color="auto" w:fill="auto"/>
        <w:ind w:right="200" w:firstLine="0"/>
        <w:jc w:val="right"/>
      </w:pPr>
    </w:p>
    <w:p>
      <w:pPr>
        <w:pStyle w:val="832"/>
        <w:shd w:val="clear" w:color="auto" w:fill="auto"/>
        <w:ind w:firstLine="0"/>
        <w:jc w:val="center"/>
      </w:pPr>
      <w:r>
        <w:rPr>
          <w:b/>
          <w:bCs/>
        </w:rPr>
        <w:t xml:space="preserve">Сведения о количестве неиспользованных дней отпуска</w:t>
      </w:r>
    </w:p>
    <w:p>
      <w:pPr>
        <w:pStyle w:val="834"/>
        <w:shd w:val="clear" w:color="auto" w:fill="auto"/>
        <w:tabs>
          <w:tab w:val="left" w:pos="5117" w:leader="underscore"/>
          <w:tab w:val="left" w:pos="6336" w:leader="underscore"/>
          <w:tab w:val="left" w:pos="7056" w:leader="underscore"/>
        </w:tabs>
        <w:ind w:left="2707"/>
      </w:pPr>
      <w:r>
        <w:t xml:space="preserve">по состоянию на "</w:t>
      </w:r>
      <w:r>
        <w:tab/>
        <w:t xml:space="preserve">"</w:t>
      </w:r>
      <w:r>
        <w:tab/>
        <w:t xml:space="preserve">20</w:t>
      </w:r>
      <w:r>
        <w:tab/>
        <w:t xml:space="preserve">г.</w:t>
      </w:r>
    </w:p>
    <w:p>
      <w:pPr>
        <w:pStyle w:val="834"/>
        <w:shd w:val="clear" w:color="auto" w:fill="auto"/>
        <w:tabs>
          <w:tab w:val="left" w:pos="5117" w:leader="underscore"/>
          <w:tab w:val="left" w:pos="6336" w:leader="underscore"/>
          <w:tab w:val="left" w:pos="7056" w:leader="underscore"/>
        </w:tabs>
        <w:ind w:left="2707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328"/>
        <w:gridCol w:w="2650"/>
        <w:gridCol w:w="4022"/>
      </w:tblGrid>
      <w:tr>
        <w:trPr>
          <w:jc w:val="center"/>
          <w:trHeight w:val="1080" w:hRule="exac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before="12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п/п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before="12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Должность работника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before="12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ФИО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неиспользованных дней отпуска за фактически отработанное время</w:t>
            </w:r>
          </w:p>
        </w:tc>
      </w:tr>
      <w:tr>
        <w:trPr>
          <w:jc w:val="center"/>
          <w:trHeight w:val="533" w:hRule="exac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spacing w:after="599" w:line="1" w:lineRule="exact"/>
      </w:pPr>
    </w:p>
    <w:p>
      <w:pPr>
        <w:pStyle w:val="832"/>
        <w:shd w:val="clear" w:color="auto" w:fill="auto"/>
        <w:tabs>
          <w:tab w:val="left" w:pos="3710" w:leader="none"/>
        </w:tabs>
        <w:spacing w:after="0"/>
        <w:ind w:firstLine="0"/>
        <w:rPr>
          <w:u w:val="single"/>
        </w:rPr>
      </w:pPr>
      <w:r>
        <w:t xml:space="preserve">Исполнитель </w:t>
      </w:r>
      <w:r>
        <w:rPr>
          <w:u w:val="single"/>
        </w:rPr>
        <w:t xml:space="preserve">(должность)</w:t>
      </w:r>
      <w:r>
        <w:rPr>
          <w:u w:val="single"/>
        </w:rPr>
        <w:tab/>
        <w:t xml:space="preserve">(подпись) ( (расшифровка) )</w:t>
      </w:r>
    </w:p>
    <w:p>
      <w:pPr>
        <w:pStyle w:val="832"/>
        <w:shd w:val="clear" w:color="auto" w:fill="auto"/>
        <w:tabs>
          <w:tab w:val="left" w:pos="3710" w:leader="none"/>
        </w:tabs>
        <w:spacing w:after="0"/>
        <w:ind w:firstLine="0"/>
      </w:pPr>
      <w:r>
        <w:t xml:space="preserve">«_____» _____________20__г.</w:t>
      </w:r>
    </w:p>
    <w:p>
      <w:pPr>
        <w:spacing w:line="1" w:lineRule="exact"/>
      </w:pP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</w:pP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</w:pP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БУХГАЛТЕРСКИЕ ЗАПИСИ</w:t>
      </w:r>
    </w:p>
    <w:p>
      <w:pPr>
        <w:pStyle w:val="832"/>
        <w:shd w:val="clear" w:color="auto" w:fill="auto"/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ОТРАЖЕНИЮ В УЧЕТЕ ОПЕРАЦИЙ ПО ФОРМИРОВАНИЮ</w:t>
      </w:r>
      <w:r>
        <w:rPr>
          <w:sz w:val="24"/>
          <w:szCs w:val="24"/>
        </w:rPr>
        <w:br/>
        <w:t xml:space="preserve">И ИСПОЛЬЗОВАНИЮ РЕЗЕРВОВ (бюджетные учреждения)</w:t>
      </w:r>
    </w:p>
    <w:p>
      <w:pPr>
        <w:pStyle w:val="832"/>
        <w:shd w:val="clear" w:color="auto" w:fill="auto"/>
        <w:spacing w:after="0"/>
        <w:ind w:firstLine="0"/>
        <w:jc w:val="center"/>
      </w:pPr>
    </w:p>
    <w:tbl>
      <w:tblPr>
        <w:tblpPr w:horzAnchor="margin" w:tblpX="372" w:vertAnchor="text" w:tblpY="1" w:leftFromText="180" w:topFromText="0" w:rightFromText="180" w:bottomFromText="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5430"/>
        <w:gridCol w:w="1810"/>
        <w:gridCol w:w="1810"/>
      </w:tblGrid>
      <w:tr>
        <w:trPr>
          <w:trHeight w:val="719" w:hRule="exac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п/п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pStyle w:val="835"/>
              <w:shd w:val="clear" w:color="auto" w:fill="auto"/>
              <w:tabs>
                <w:tab w:val="left" w:pos="134" w:leader="none"/>
              </w:tabs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 xml:space="preserve">Содержание операции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 xml:space="preserve">Дебет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pStyle w:val="835"/>
              <w:shd w:val="clear" w:color="auto" w:fill="auto"/>
              <w:spacing w:after="0"/>
              <w:ind w:firstLine="280"/>
              <w:jc w:val="center"/>
            </w:pPr>
            <w:r>
              <w:rPr>
                <w:sz w:val="22"/>
                <w:szCs w:val="22"/>
              </w:rPr>
              <w:t xml:space="preserve">Кредит</w:t>
            </w:r>
          </w:p>
        </w:tc>
      </w:tr>
      <w:tr>
        <w:trPr>
          <w:trHeight w:val="549" w:hRule="exac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tabs>
                <w:tab w:val="left" w:pos="130" w:leader="none"/>
              </w:tabs>
              <w:spacing w:after="0"/>
              <w:ind w:firstLine="0"/>
            </w:pPr>
            <w:r>
              <w:rPr>
                <w:sz w:val="22"/>
                <w:szCs w:val="22"/>
              </w:rPr>
              <w:t xml:space="preserve">Формирование резерва на оплату отпусков за фактически отработанное время;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80"/>
              <w:jc w:val="both"/>
            </w:pPr>
          </w:p>
        </w:tc>
      </w:tr>
      <w:tr>
        <w:trPr>
          <w:trHeight w:val="1272" w:hRule="exact"/>
        </w:trPr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numPr>
                <w:numId w:val="2"/>
                <w:ilvl w:val="0"/>
              </w:numPr>
              <w:shd w:val="clear" w:color="auto" w:fill="auto"/>
              <w:tabs>
                <w:tab w:val="left" w:pos="130" w:leader="none"/>
              </w:tabs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по выплатам работникам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tabs>
                <w:tab w:val="left" w:pos="130" w:leader="none"/>
              </w:tabs>
              <w:spacing w:after="0"/>
              <w:ind w:firstLine="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tabs>
                <w:tab w:val="left" w:pos="130" w:leader="none"/>
              </w:tabs>
              <w:spacing w:after="0"/>
              <w:ind w:firstLine="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5"/>
              <w:numPr>
                <w:numId w:val="2"/>
                <w:ilvl w:val="0"/>
              </w:numPr>
              <w:shd w:val="clear" w:color="auto" w:fill="auto"/>
              <w:tabs>
                <w:tab w:val="left" w:pos="130" w:leader="none"/>
              </w:tabs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по страховым взносам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040120211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(010960211)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040120213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(010960213)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040160211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28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040160213</w:t>
            </w:r>
            <w:r>
              <w:rPr>
                <w:highlight w:val="none"/>
              </w:rPr>
            </w:r>
          </w:p>
        </w:tc>
      </w:tr>
      <w:tr>
        <w:trPr>
          <w:trHeight w:val="578" w:hRule="exac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2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Отражение в учете расходных обязательств по формированию резервов на оплату отпусков &lt;1&gt;: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70" w:hRule="exact"/>
        </w:trPr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 по выплатам работникам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050690211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8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050299211</w:t>
            </w:r>
            <w:r>
              <w:rPr>
                <w:highlight w:val="none"/>
              </w:rPr>
            </w:r>
          </w:p>
        </w:tc>
      </w:tr>
      <w:tr>
        <w:trPr>
          <w:trHeight w:val="410" w:hRule="exact"/>
        </w:trPr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 по страховым взносам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050690213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8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050299213</w:t>
            </w:r>
            <w:r>
              <w:rPr>
                <w:highlight w:val="none"/>
              </w:rPr>
            </w:r>
          </w:p>
        </w:tc>
      </w:tr>
      <w:tr>
        <w:trPr>
          <w:trHeight w:val="724" w:hRule="exac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Начисление оплаты отпуска за проработанное время (компенсации за неиспользованный отпуск):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39" w:hRule="exact"/>
        </w:trPr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 за счет резерва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040160211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040160213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030211730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0303ХХ730</w:t>
            </w:r>
            <w:r>
              <w:rPr>
                <w:highlight w:val="none"/>
              </w:rPr>
            </w:r>
          </w:p>
        </w:tc>
      </w:tr>
      <w:tr>
        <w:trPr>
          <w:trHeight w:val="1627" w:hRule="exac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2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Отражение в учете расходных обязательств по выплатам начисленных отпусков (компенсации за неиспользованный отпуск), производимых за счет ранее созданного резерва.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Одновременно производится уменьшение ранее отраженных обязательств методом "красное сторно"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050610211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050610213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8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050211211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28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050211213</w:t>
            </w:r>
            <w:r>
              <w:rPr>
                <w:highlight w:val="none"/>
              </w:rPr>
            </w:r>
          </w:p>
        </w:tc>
      </w:tr>
    </w:tbl>
    <w:p>
      <w:pPr>
        <w:pStyle w:val="832"/>
        <w:shd w:val="clear" w:color="auto" w:fill="auto"/>
        <w:spacing w:before="120" w:after="0"/>
        <w:ind w:firstLine="601"/>
      </w:pPr>
      <w:r>
        <w:rPr>
          <w:highlight w:val="none"/>
        </w:rPr>
        <w:t xml:space="preserve">&lt;1&gt; Уточнение ранее сформированного резерва отражается на дату его расчета дополнительной бу</w:t>
      </w:r>
      <w:r>
        <w:t xml:space="preserve">хгалтерской записью (увеличение ранее сформированного резерва), или бухгалтерской записью, оформленной по способу "Красное </w:t>
      </w:r>
      <w:r>
        <w:t xml:space="preserve">сторно" (уменьшение ранее сформированного резерва).</w:t>
      </w:r>
    </w:p>
    <w:p>
      <w:pPr>
        <w:pStyle w:val="832"/>
        <w:shd w:val="clear" w:color="auto" w:fill="auto"/>
        <w:spacing w:after="260"/>
        <w:ind w:firstLine="0"/>
        <w:jc w:val="center"/>
      </w:pPr>
    </w:p>
    <w:p>
      <w:pPr>
        <w:pStyle w:val="832"/>
        <w:shd w:val="clear" w:color="auto" w:fill="auto"/>
        <w:spacing w:after="260"/>
        <w:ind w:firstLine="0"/>
        <w:jc w:val="center"/>
      </w:pPr>
    </w:p>
    <w:p>
      <w:pPr>
        <w:sectPr>
          <w:footnotePr/>
          <w:endnotePr/>
          <w:type w:val="nextPage"/>
          <w:pgSz w:w="11900" w:h="16840" w:orient="portrait"/>
          <w:pgMar w:top="567" w:right="567" w:bottom="567" w:left="1134" w:header="714" w:footer="544" w:gutter="0"/>
          <w:pgNumType w:start="1"/>
          <w:cols w:num="1" w:sep="0" w:space="720" w:equalWidth="1"/>
          <w:docGrid w:linePitch="360"/>
        </w:sectPr>
      </w:pPr>
    </w:p>
    <w:p>
      <w:pPr>
        <w:pStyle w:val="832"/>
        <w:shd w:val="clear" w:color="auto" w:fill="auto"/>
        <w:tabs>
          <w:tab w:val="left" w:pos="4608" w:leader="none"/>
        </w:tabs>
        <w:spacing w:after="0"/>
        <w:ind w:firstLine="0"/>
        <w:jc w:val="center"/>
      </w:pPr>
      <w:r>
        <w:rPr>
          <w:sz w:val="24"/>
          <w:szCs w:val="24"/>
        </w:rPr>
        <w:t xml:space="preserve">БУХГАЛТЕРСКИЕ ЗАПИСИ</w:t>
      </w:r>
      <w:r>
        <w:rPr>
          <w:sz w:val="24"/>
          <w:szCs w:val="24"/>
        </w:rPr>
      </w:r>
    </w:p>
    <w:p>
      <w:pPr>
        <w:pStyle w:val="832"/>
        <w:shd w:val="clear" w:color="auto" w:fill="auto"/>
        <w:spacing w:after="0"/>
        <w:ind w:firstLine="0"/>
        <w:jc w:val="center"/>
      </w:pPr>
      <w:r>
        <w:rPr>
          <w:sz w:val="24"/>
          <w:szCs w:val="24"/>
        </w:rPr>
        <w:t xml:space="preserve">ПО ОТРАЖЕНИЮ В УЧЕТЕ ОПЕРАЦИЙ ПО ФОРМИРОВАНИЮ</w:t>
      </w:r>
      <w:r>
        <w:rPr>
          <w:sz w:val="24"/>
          <w:szCs w:val="24"/>
        </w:rPr>
        <w:br/>
        <w:t xml:space="preserve">И ИСПОЛЬЗОВАНИЮ РЕЗЕРВОВ (казенные учреждения)</w:t>
      </w:r>
      <w:r>
        <w:rPr>
          <w:sz w:val="24"/>
          <w:szCs w:val="24"/>
        </w:rPr>
      </w:r>
    </w:p>
    <w:tbl>
      <w:tblPr>
        <w:tblpPr w:horzAnchor="margin" w:tblpX="-548" w:vertAnchor="text" w:tblpY="168" w:leftFromText="180" w:topFromText="0" w:rightFromText="180" w:bottomFromText="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5430"/>
        <w:gridCol w:w="1810"/>
        <w:gridCol w:w="1810"/>
      </w:tblGrid>
      <w:tr>
        <w:trPr>
          <w:trHeight w:val="719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835"/>
              <w:shd w:val="clear" w:color="auto" w:fill="auto"/>
              <w:tabs>
                <w:tab w:val="left" w:pos="134" w:leader="none"/>
              </w:tabs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 xml:space="preserve">Содержание операции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</w:pPr>
            <w:r>
              <w:rPr>
                <w:sz w:val="22"/>
                <w:szCs w:val="22"/>
              </w:rPr>
              <w:t xml:space="preserve">Дебет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835"/>
              <w:shd w:val="clear" w:color="auto" w:fill="auto"/>
              <w:spacing w:after="0"/>
              <w:ind w:firstLine="280"/>
              <w:jc w:val="center"/>
            </w:pPr>
            <w:r>
              <w:rPr>
                <w:sz w:val="22"/>
                <w:szCs w:val="22"/>
              </w:rPr>
              <w:t xml:space="preserve">Кредит</w:t>
            </w:r>
          </w:p>
        </w:tc>
      </w:tr>
      <w:tr>
        <w:trPr>
          <w:trHeight w:val="549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tabs>
                <w:tab w:val="left" w:pos="130" w:leader="none"/>
              </w:tabs>
              <w:spacing w:after="0"/>
              <w:ind w:firstLine="0"/>
            </w:pPr>
            <w:r>
              <w:rPr>
                <w:sz w:val="22"/>
                <w:szCs w:val="22"/>
              </w:rPr>
              <w:t xml:space="preserve">Формирование резерва на оплату отпусков за фактически отработанное время;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80"/>
              <w:jc w:val="both"/>
            </w:pPr>
          </w:p>
        </w:tc>
      </w:tr>
      <w:tr>
        <w:trPr>
          <w:trHeight w:val="1272" w:hRule="exact"/>
        </w:trPr>
        <w:tc>
          <w:tcPr>
            <w:tcW w:w="553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5430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numPr>
                <w:numId w:val="3"/>
                <w:ilvl w:val="0"/>
              </w:numPr>
              <w:shd w:val="clear" w:color="auto" w:fill="auto"/>
              <w:tabs>
                <w:tab w:val="left" w:pos="130" w:leader="none"/>
              </w:tabs>
              <w:spacing w:after="0"/>
              <w:ind w:firstLine="0"/>
            </w:pPr>
            <w:r>
              <w:rPr>
                <w:sz w:val="22"/>
                <w:szCs w:val="22"/>
                <w:highlight w:val="none"/>
              </w:rPr>
              <w:t xml:space="preserve">по выплатам работникам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tabs>
                <w:tab w:val="left" w:pos="130" w:leader="none"/>
              </w:tabs>
              <w:spacing w:after="0"/>
              <w:ind w:firstLine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tabs>
                <w:tab w:val="left" w:pos="130" w:leader="none"/>
              </w:tabs>
              <w:spacing w:after="0"/>
              <w:ind w:firstLine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5"/>
              <w:numPr>
                <w:numId w:val="3"/>
                <w:ilvl w:val="0"/>
              </w:numPr>
              <w:shd w:val="clear" w:color="auto" w:fill="auto"/>
              <w:tabs>
                <w:tab w:val="left" w:pos="130" w:leader="none"/>
              </w:tabs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по страховым взносам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</w:pPr>
            <w:r>
              <w:rPr>
                <w:sz w:val="22"/>
                <w:szCs w:val="22"/>
                <w:highlight w:val="none"/>
              </w:rPr>
              <w:t xml:space="preserve">040120211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</w:pPr>
            <w:r>
              <w:rPr>
                <w:sz w:val="22"/>
                <w:szCs w:val="22"/>
                <w:highlight w:val="none"/>
              </w:rPr>
              <w:t xml:space="preserve">(010960211)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</w:pPr>
            <w:r>
              <w:rPr>
                <w:sz w:val="22"/>
                <w:szCs w:val="22"/>
                <w:highlight w:val="none"/>
              </w:rPr>
              <w:t xml:space="preserve">040120213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(010960213)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</w:pPr>
            <w:r>
              <w:rPr>
                <w:sz w:val="22"/>
                <w:szCs w:val="22"/>
                <w:highlight w:val="none"/>
              </w:rPr>
              <w:t xml:space="preserve">040160211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280"/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040160213</w:t>
            </w:r>
            <w:r>
              <w:rPr>
                <w:highlight w:val="none"/>
              </w:rPr>
            </w:r>
          </w:p>
        </w:tc>
      </w:tr>
      <w:tr>
        <w:trPr>
          <w:trHeight w:val="578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2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Отражение в учете расходных обязательств по формированию резервов на оплату отпусков &lt;1&gt;: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70" w:hRule="exact"/>
        </w:trPr>
        <w:tc>
          <w:tcPr>
            <w:tcW w:w="553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5430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 по выплатам работникам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050193211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8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050299211</w:t>
            </w:r>
            <w:r>
              <w:rPr>
                <w:highlight w:val="none"/>
              </w:rPr>
            </w:r>
          </w:p>
        </w:tc>
      </w:tr>
      <w:tr>
        <w:trPr>
          <w:trHeight w:val="410" w:hRule="exact"/>
        </w:trPr>
        <w:tc>
          <w:tcPr>
            <w:tcW w:w="553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5430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 по страховым взносам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050193213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8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050299213</w:t>
            </w:r>
            <w:r>
              <w:rPr>
                <w:highlight w:val="none"/>
              </w:rPr>
            </w:r>
          </w:p>
        </w:tc>
      </w:tr>
      <w:tr>
        <w:trPr>
          <w:trHeight w:val="724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Начисление оплаты отпуска за проработанное время (компенсации за неиспользованный отпуск):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39" w:hRule="exact"/>
        </w:trPr>
        <w:tc>
          <w:tcPr>
            <w:tcW w:w="553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5430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 за счет резерва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</w:pPr>
            <w:r>
              <w:rPr>
                <w:sz w:val="22"/>
                <w:szCs w:val="22"/>
                <w:highlight w:val="none"/>
              </w:rPr>
              <w:t xml:space="preserve">040160211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040160213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  <w:jc w:val="center"/>
            </w:pPr>
            <w:r>
              <w:rPr>
                <w:sz w:val="22"/>
                <w:szCs w:val="22"/>
                <w:highlight w:val="none"/>
              </w:rPr>
              <w:t xml:space="preserve">030211730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0303ХХ730</w:t>
            </w:r>
            <w:r>
              <w:rPr>
                <w:highlight w:val="none"/>
              </w:rPr>
            </w:r>
          </w:p>
        </w:tc>
      </w:tr>
      <w:tr>
        <w:trPr>
          <w:trHeight w:val="1627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20"/>
              <w:jc w:val="center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0"/>
            </w:pPr>
            <w:r>
              <w:rPr>
                <w:sz w:val="22"/>
                <w:szCs w:val="22"/>
                <w:highlight w:val="none"/>
              </w:rPr>
              <w:t xml:space="preserve">Отражение в учете расходных обязательств по выплатам начисленных отпусков (компенсации за неиспользованный отпуск), производимых за счет ранее созданного резерва.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0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Одновременно производится уменьшение ранее отраженных обязательств методом "красное сторно"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320"/>
              <w:jc w:val="both"/>
            </w:pPr>
            <w:r>
              <w:rPr>
                <w:sz w:val="22"/>
                <w:szCs w:val="22"/>
                <w:highlight w:val="none"/>
              </w:rPr>
              <w:t xml:space="preserve">050299211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32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050299213</w:t>
            </w:r>
            <w:r>
              <w:rPr>
                <w:highlight w:val="none"/>
              </w:rPr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Style w:val="835"/>
              <w:shd w:val="clear" w:color="auto" w:fill="auto"/>
              <w:spacing w:after="0"/>
              <w:ind w:firstLine="280"/>
              <w:jc w:val="both"/>
            </w:pPr>
            <w:r>
              <w:rPr>
                <w:sz w:val="22"/>
                <w:szCs w:val="22"/>
                <w:highlight w:val="none"/>
              </w:rPr>
              <w:t xml:space="preserve">050211211</w:t>
            </w:r>
            <w:r>
              <w:rPr>
                <w:highlight w:val="none"/>
              </w:rPr>
            </w:r>
          </w:p>
          <w:p>
            <w:pPr>
              <w:pStyle w:val="835"/>
              <w:shd w:val="clear" w:color="auto" w:fill="auto"/>
              <w:spacing w:after="0"/>
              <w:ind w:firstLine="280"/>
              <w:jc w:val="both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050211213</w:t>
            </w:r>
            <w:r>
              <w:rPr>
                <w:highlight w:val="none"/>
              </w:rPr>
            </w:r>
          </w:p>
        </w:tc>
      </w:tr>
    </w:tbl>
    <w:p>
      <w:pPr>
        <w:pStyle w:val="832"/>
        <w:shd w:val="clear" w:color="auto" w:fill="auto"/>
        <w:spacing w:after="0"/>
        <w:ind w:firstLine="0"/>
        <w:jc w:val="center"/>
      </w:pPr>
    </w:p>
    <w:p>
      <w:pPr>
        <w:pStyle w:val="832"/>
        <w:shd w:val="clear" w:color="auto" w:fill="auto"/>
        <w:spacing w:before="120" w:after="0"/>
        <w:ind w:firstLine="601"/>
      </w:pPr>
      <w:r>
        <w:rPr>
          <w:highlight w:val="none"/>
        </w:rPr>
        <w:t xml:space="preserve">&lt;1&gt; Уточнение ранее сформированного резерва отражается на дату его расчета дополнительной бу</w:t>
      </w:r>
      <w:r>
        <w:t xml:space="preserve">хгалтерской записью (увеличение ранее сформированного резерва), или бухгалтерской записью, оформленной по способу "Красное </w:t>
      </w:r>
      <w:r>
        <w:t xml:space="preserve">сторно" (уменьшение ранее сформированного резерва).</w:t>
      </w:r>
    </w:p>
    <w:p>
      <w:pPr>
        <w:pStyle w:val="832"/>
        <w:shd w:val="clear" w:color="auto" w:fill="auto"/>
        <w:spacing w:after="260"/>
        <w:ind w:firstLine="0"/>
        <w:jc w:val="center"/>
        <w:rPr>
          <w:sz w:val="24"/>
          <w:szCs w:val="24"/>
        </w:rPr>
      </w:pPr>
    </w:p>
    <w:p>
      <w:pPr>
        <w:spacing w:after="759" w:line="1" w:lineRule="exact"/>
      </w:pPr>
    </w:p>
    <w:sectPr>
      <w:footerReference w:type="default" r:id="rId9"/>
      <w:footnotePr/>
      <w:endnotePr/>
      <w:type w:val="nextPage"/>
      <w:pgSz w:w="11900" w:h="16840" w:orient="portrait"/>
      <w:pgMar w:top="1160" w:right="516" w:bottom="4750" w:left="1711" w:header="732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8"/>
    <w:link w:val="64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8"/>
    <w:link w:val="65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8"/>
    <w:link w:val="65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8"/>
    <w:link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8"/>
    <w:link w:val="65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8"/>
    <w:link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8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8"/>
    <w:link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8"/>
    <w:link w:val="65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8"/>
    <w:link w:val="672"/>
    <w:uiPriority w:val="10"/>
    <w:rPr>
      <w:sz w:val="48"/>
      <w:szCs w:val="48"/>
    </w:rPr>
  </w:style>
  <w:style w:type="character" w:styleId="36">
    <w:name w:val="Subtitle Char"/>
    <w:basedOn w:val="658"/>
    <w:link w:val="674"/>
    <w:uiPriority w:val="11"/>
    <w:rPr>
      <w:sz w:val="24"/>
      <w:szCs w:val="24"/>
    </w:rPr>
  </w:style>
  <w:style w:type="character" w:styleId="38">
    <w:name w:val="Quote Char"/>
    <w:link w:val="676"/>
    <w:uiPriority w:val="29"/>
    <w:rPr>
      <w:i/>
    </w:rPr>
  </w:style>
  <w:style w:type="character" w:styleId="40">
    <w:name w:val="Intense Quote Char"/>
    <w:link w:val="678"/>
    <w:uiPriority w:val="30"/>
    <w:rPr>
      <w:i/>
    </w:rPr>
  </w:style>
  <w:style w:type="character" w:styleId="175">
    <w:name w:val="Footnote Text Char"/>
    <w:link w:val="811"/>
    <w:uiPriority w:val="99"/>
    <w:rPr>
      <w:sz w:val="18"/>
    </w:rPr>
  </w:style>
  <w:style w:type="character" w:styleId="178">
    <w:name w:val="Endnote Text Char"/>
    <w:link w:val="814"/>
    <w:uiPriority w:val="99"/>
    <w:rPr>
      <w:sz w:val="20"/>
    </w:rPr>
  </w:style>
  <w:style w:type="paragraph" w:styleId="648" w:default="1">
    <w:name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sz w:val="24"/>
      <w:szCs w:val="24"/>
    </w:rPr>
  </w:style>
  <w:style w:type="paragraph" w:styleId="649">
    <w:name w:val="Heading 1"/>
    <w:basedOn w:val="648"/>
    <w:next w:val="648"/>
    <w:link w:val="661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650">
    <w:name w:val="Heading 2"/>
    <w:basedOn w:val="648"/>
    <w:next w:val="648"/>
    <w:link w:val="662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651">
    <w:name w:val="Heading 3"/>
    <w:basedOn w:val="648"/>
    <w:next w:val="648"/>
    <w:link w:val="663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652">
    <w:name w:val="Heading 4"/>
    <w:basedOn w:val="648"/>
    <w:next w:val="648"/>
    <w:link w:val="664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653">
    <w:name w:val="Heading 5"/>
    <w:basedOn w:val="648"/>
    <w:next w:val="648"/>
    <w:link w:val="665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54">
    <w:name w:val="Heading 6"/>
    <w:basedOn w:val="648"/>
    <w:next w:val="648"/>
    <w:link w:val="666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655">
    <w:name w:val="Heading 7"/>
    <w:basedOn w:val="648"/>
    <w:next w:val="648"/>
    <w:link w:val="667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56">
    <w:name w:val="Heading 8"/>
    <w:basedOn w:val="648"/>
    <w:next w:val="648"/>
    <w:link w:val="668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57">
    <w:name w:val="Heading 9"/>
    <w:basedOn w:val="648"/>
    <w:next w:val="648"/>
    <w:link w:val="669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eastAsia="Arial" w:cs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eastAsia="Arial" w:cs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eastAsia="Arial" w:cs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ind w:left="720"/>
      <w:contextualSpacing/>
    </w:pPr>
  </w:style>
  <w:style w:type="paragraph" w:styleId="671">
    <w:name w:val="No Spacing"/>
    <w:uiPriority w:val="1"/>
    <w:qFormat/>
  </w:style>
  <w:style w:type="paragraph" w:styleId="672">
    <w:name w:val="Title"/>
    <w:basedOn w:val="648"/>
    <w:next w:val="648"/>
    <w:link w:val="67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 w:after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6">
    <w:name w:val="Plain Table 1"/>
    <w:basedOn w:val="65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Lined - Accent"/>
    <w:basedOn w:val="65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Lined - Accent 1"/>
    <w:basedOn w:val="65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Lined - Accent 2"/>
    <w:basedOn w:val="65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Lined - Accent 3"/>
    <w:basedOn w:val="65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Lined - Accent 4"/>
    <w:basedOn w:val="65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Lined - Accent 5"/>
    <w:basedOn w:val="65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Lined - Accent 6"/>
    <w:basedOn w:val="65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  <w:rPr>
      <w:sz w:val="20"/>
    </w:rPr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spacing w:after="57"/>
      <w:ind w:left="283"/>
    </w:pPr>
  </w:style>
  <w:style w:type="paragraph" w:styleId="819">
    <w:name w:val="toc 3"/>
    <w:basedOn w:val="648"/>
    <w:next w:val="648"/>
    <w:uiPriority w:val="39"/>
    <w:unhideWhenUsed/>
    <w:pPr>
      <w:spacing w:after="57"/>
      <w:ind w:left="567"/>
    </w:pPr>
  </w:style>
  <w:style w:type="paragraph" w:styleId="820">
    <w:name w:val="toc 4"/>
    <w:basedOn w:val="648"/>
    <w:next w:val="648"/>
    <w:uiPriority w:val="39"/>
    <w:unhideWhenUsed/>
    <w:pPr>
      <w:spacing w:after="57"/>
      <w:ind w:left="850"/>
    </w:pPr>
  </w:style>
  <w:style w:type="paragraph" w:styleId="821">
    <w:name w:val="toc 5"/>
    <w:basedOn w:val="648"/>
    <w:next w:val="648"/>
    <w:uiPriority w:val="39"/>
    <w:unhideWhenUsed/>
    <w:pPr>
      <w:spacing w:after="57"/>
      <w:ind w:left="1134"/>
    </w:pPr>
  </w:style>
  <w:style w:type="paragraph" w:styleId="822">
    <w:name w:val="toc 6"/>
    <w:basedOn w:val="648"/>
    <w:next w:val="648"/>
    <w:uiPriority w:val="39"/>
    <w:unhideWhenUsed/>
    <w:pPr>
      <w:spacing w:after="57"/>
      <w:ind w:left="1417"/>
    </w:pPr>
  </w:style>
  <w:style w:type="paragraph" w:styleId="823">
    <w:name w:val="toc 7"/>
    <w:basedOn w:val="648"/>
    <w:next w:val="648"/>
    <w:uiPriority w:val="39"/>
    <w:unhideWhenUsed/>
    <w:pPr>
      <w:spacing w:after="57"/>
      <w:ind w:left="1701"/>
    </w:pPr>
  </w:style>
  <w:style w:type="paragraph" w:styleId="824">
    <w:name w:val="toc 8"/>
    <w:basedOn w:val="648"/>
    <w:next w:val="648"/>
    <w:uiPriority w:val="39"/>
    <w:unhideWhenUsed/>
    <w:pPr>
      <w:spacing w:after="57"/>
      <w:ind w:left="1984"/>
    </w:pPr>
  </w:style>
  <w:style w:type="paragraph" w:styleId="825">
    <w:name w:val="toc 9"/>
    <w:basedOn w:val="648"/>
    <w:next w:val="648"/>
    <w:uiPriority w:val="39"/>
    <w:unhideWhenUsed/>
    <w:pPr>
      <w:spacing w:after="57"/>
      <w:ind w:left="2268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character" w:styleId="828" w:customStyle="1">
    <w:name w:val="Body Text Char1"/>
    <w:uiPriority w:val="99"/>
    <w:rPr>
      <w:rFonts w:ascii="Times New Roman" w:hAnsi="Times New Roman"/>
      <w:u w:val="none"/>
    </w:rPr>
  </w:style>
  <w:style w:type="character" w:styleId="829" w:customStyle="1">
    <w:name w:val="Подпись к таблице_"/>
    <w:basedOn w:val="658"/>
    <w:link w:val="834"/>
    <w:uiPriority w:val="99"/>
    <w:rPr>
      <w:rFonts w:ascii="Times New Roman" w:hAnsi="Times New Roman" w:cs="Times New Roman"/>
      <w:b/>
      <w:bCs/>
      <w:u w:val="none"/>
    </w:rPr>
  </w:style>
  <w:style w:type="character" w:styleId="830" w:customStyle="1">
    <w:name w:val="Другое_"/>
    <w:basedOn w:val="658"/>
    <w:link w:val="835"/>
    <w:uiPriority w:val="99"/>
    <w:rPr>
      <w:rFonts w:ascii="Times New Roman" w:hAnsi="Times New Roman" w:cs="Times New Roman"/>
      <w:u w:val="none"/>
    </w:rPr>
  </w:style>
  <w:style w:type="character" w:styleId="831" w:customStyle="1">
    <w:name w:val="Колонтитул (2)_"/>
    <w:basedOn w:val="658"/>
    <w:link w:val="836"/>
    <w:uiPriority w:val="99"/>
    <w:rPr>
      <w:rFonts w:ascii="Times New Roman" w:hAnsi="Times New Roman" w:cs="Times New Roman"/>
      <w:sz w:val="20"/>
      <w:szCs w:val="20"/>
      <w:u w:val="none"/>
    </w:rPr>
  </w:style>
  <w:style w:type="paragraph" w:styleId="832">
    <w:name w:val="Body Text"/>
    <w:basedOn w:val="648"/>
    <w:link w:val="833"/>
    <w:uiPriority w:val="99"/>
    <w:pPr>
      <w:shd w:val="clear" w:color="auto" w:fill="ffffff"/>
      <w:spacing w:after="100"/>
      <w:ind w:firstLine="400"/>
    </w:pPr>
    <w:rPr>
      <w:rFonts w:ascii="Times New Roman" w:hAnsi="Times New Roman"/>
      <w:sz w:val="20"/>
      <w:szCs w:val="20"/>
    </w:rPr>
  </w:style>
  <w:style w:type="character" w:styleId="833" w:customStyle="1">
    <w:name w:val="Основной текст Знак"/>
    <w:basedOn w:val="658"/>
    <w:link w:val="832"/>
    <w:uiPriority w:val="99"/>
    <w:semiHidden/>
    <w:rPr>
      <w:rFonts w:cs="Times New Roman"/>
      <w:color w:val="000000"/>
      <w:sz w:val="24"/>
      <w:szCs w:val="24"/>
    </w:rPr>
  </w:style>
  <w:style w:type="paragraph" w:styleId="834" w:customStyle="1">
    <w:name w:val="Подпись к таблице"/>
    <w:basedOn w:val="648"/>
    <w:link w:val="829"/>
    <w:uiPriority w:val="99"/>
    <w:pPr>
      <w:shd w:val="clear" w:color="auto" w:fill="ffffff"/>
    </w:pPr>
    <w:rPr>
      <w:rFonts w:ascii="Times New Roman" w:hAnsi="Times New Roman"/>
      <w:b/>
      <w:bCs/>
    </w:rPr>
  </w:style>
  <w:style w:type="paragraph" w:styleId="835" w:customStyle="1">
    <w:name w:val="Другое"/>
    <w:basedOn w:val="648"/>
    <w:link w:val="830"/>
    <w:uiPriority w:val="99"/>
    <w:pPr>
      <w:shd w:val="clear" w:color="auto" w:fill="ffffff"/>
      <w:spacing w:after="100"/>
      <w:ind w:firstLine="400"/>
    </w:pPr>
    <w:rPr>
      <w:rFonts w:ascii="Times New Roman" w:hAnsi="Times New Roman"/>
    </w:rPr>
  </w:style>
  <w:style w:type="paragraph" w:styleId="836" w:customStyle="1">
    <w:name w:val="Колонтитул (2)"/>
    <w:basedOn w:val="648"/>
    <w:link w:val="831"/>
    <w:uiPriority w:val="99"/>
    <w:pPr>
      <w:shd w:val="clear" w:color="auto" w:fill="ffffff"/>
    </w:pPr>
    <w:rPr>
      <w:rFonts w:ascii="Times New Roman" w:hAnsi="Times New Roman"/>
      <w:sz w:val="20"/>
      <w:szCs w:val="20"/>
    </w:rPr>
  </w:style>
  <w:style w:type="paragraph" w:styleId="837">
    <w:name w:val="Header"/>
    <w:basedOn w:val="648"/>
    <w:link w:val="838"/>
    <w:uiPriority w:val="99"/>
    <w:pPr>
      <w:tabs>
        <w:tab w:val="center" w:pos="4677" w:leader="none"/>
        <w:tab w:val="right" w:pos="9355" w:leader="none"/>
      </w:tabs>
    </w:pPr>
  </w:style>
  <w:style w:type="character" w:styleId="838" w:customStyle="1">
    <w:name w:val="Верхний колонтитул Знак"/>
    <w:basedOn w:val="658"/>
    <w:link w:val="837"/>
    <w:uiPriority w:val="99"/>
    <w:semiHidden/>
    <w:rPr>
      <w:rFonts w:cs="Times New Roman"/>
      <w:color w:val="000000"/>
      <w:sz w:val="24"/>
      <w:szCs w:val="24"/>
    </w:rPr>
  </w:style>
  <w:style w:type="paragraph" w:styleId="839">
    <w:name w:val="Footer"/>
    <w:basedOn w:val="648"/>
    <w:link w:val="840"/>
    <w:uiPriority w:val="99"/>
    <w:pPr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basedOn w:val="658"/>
    <w:link w:val="839"/>
    <w:uiPriority w:val="99"/>
    <w:semiHidden/>
    <w:rPr>
      <w:rFonts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Ордина</dc:creator>
  <cp:keywords/>
  <dc:description/>
  <cp:revision>3</cp:revision>
  <dcterms:created xsi:type="dcterms:W3CDTF">2022-09-15T07:57:00Z</dcterms:created>
  <dcterms:modified xsi:type="dcterms:W3CDTF">2023-01-27T04:17:27Z</dcterms:modified>
</cp:coreProperties>
</file>