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firstLine="0"/>
        <w:jc w:val="right"/>
        <w:spacing w:after="0"/>
        <w:shd w:val="clear" w:color="auto" w:fill="auto"/>
        <w:rPr>
          <w:sz w:val="22"/>
        </w:rPr>
      </w:pPr>
      <w:r>
        <w:rPr>
          <w:sz w:val="22"/>
        </w:rPr>
        <w:t xml:space="preserve">Приложение № 4</w:t>
      </w:r>
      <w:r/>
    </w:p>
    <w:p>
      <w:pPr>
        <w:pStyle w:val="837"/>
        <w:ind w:firstLine="0"/>
        <w:jc w:val="right"/>
        <w:spacing w:after="0"/>
        <w:shd w:val="clear" w:color="auto" w:fill="auto"/>
        <w:rPr>
          <w:sz w:val="22"/>
        </w:rPr>
      </w:pPr>
      <w:r>
        <w:rPr>
          <w:sz w:val="22"/>
        </w:rPr>
        <w:t xml:space="preserve">к Единой учетной политике</w:t>
      </w:r>
      <w:r/>
    </w:p>
    <w:p>
      <w:pPr>
        <w:pStyle w:val="837"/>
        <w:ind w:firstLine="0"/>
        <w:jc w:val="right"/>
        <w:spacing w:after="0"/>
        <w:shd w:val="clear" w:color="auto" w:fill="auto"/>
      </w:pPr>
      <w:r>
        <w:rPr>
          <w:sz w:val="22"/>
        </w:rPr>
        <w:t xml:space="preserve">№___________от ______________</w:t>
      </w:r>
      <w:r/>
    </w:p>
    <w:p>
      <w:pPr>
        <w:pStyle w:val="837"/>
        <w:ind w:firstLine="0"/>
        <w:jc w:val="right"/>
        <w:spacing w:after="0"/>
        <w:shd w:val="clear" w:color="auto" w:fill="auto"/>
      </w:pPr>
      <w:r/>
      <w:r/>
    </w:p>
    <w:p>
      <w:pPr>
        <w:pStyle w:val="838"/>
        <w:ind w:left="0"/>
        <w:keepLines/>
        <w:keepNext/>
        <w:spacing w:before="120" w:after="0"/>
        <w:shd w:val="clear" w:color="auto" w:fill="auto"/>
      </w:pPr>
      <w:r/>
      <w:bookmarkStart w:id="0" w:name="bookmark0"/>
      <w:r/>
      <w:bookmarkStart w:id="1" w:name="bookmark1"/>
      <w:r>
        <w:t xml:space="preserve">Положение о комиссии по поступлению и выбытию активов</w:t>
      </w:r>
      <w:bookmarkEnd w:id="0"/>
      <w:r/>
      <w:bookmarkEnd w:id="1"/>
      <w:r/>
      <w:r/>
    </w:p>
    <w:p>
      <w:pPr>
        <w:pStyle w:val="838"/>
        <w:ind w:left="0"/>
        <w:keepLines/>
        <w:keepNext/>
        <w:spacing w:before="120" w:after="120"/>
        <w:shd w:val="clear" w:color="auto" w:fill="auto"/>
      </w:pPr>
      <w:r/>
      <w:bookmarkStart w:id="2" w:name="bookmark2"/>
      <w:r/>
      <w:bookmarkStart w:id="3" w:name="bookmark3"/>
      <w:r>
        <w:t xml:space="preserve">1. Общие положения</w:t>
      </w:r>
      <w:bookmarkEnd w:id="2"/>
      <w:r/>
      <w:bookmarkEnd w:id="3"/>
      <w:r/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Состав комиссии по поступлению и выбытию активов (далее - комиссия) утверждается отдельным распорядительным актом руководителя.</w:t>
      </w:r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Комиссию возглавляет председатель, который осуществляет общее руководство деятельностью комиссии, обеспечивает коллегиальность в</w:t>
      </w:r>
      <w:r>
        <w:t xml:space="preserve"> обсуждении спорных вопросов, распределяет обязанности и дает поручения членам комиссии. Заседания комиссии проводятся по мере необходимости.</w:t>
      </w:r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Срок рассмотрения комиссией представленных ей документов не должен превышать 14 календарных дней.</w:t>
      </w:r>
      <w:r/>
    </w:p>
    <w:p>
      <w:pPr>
        <w:pStyle w:val="837"/>
        <w:ind w:firstLine="500"/>
        <w:jc w:val="both"/>
        <w:spacing w:after="0"/>
        <w:shd w:val="clear" w:color="auto" w:fill="auto"/>
      </w:pPr>
      <w:r>
        <w:t xml:space="preserve">Заседание комисс</w:t>
      </w:r>
      <w:r>
        <w:t xml:space="preserve">ии правомочно при наличии не менее 2/3 ее состава.</w:t>
      </w:r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Для участия в заседаниях комиссии могут приглашаться эксперты, обладающие специальными знаниями. Они включаются в состав комиссии на добровольной основе.</w:t>
      </w:r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Экспертом не может быть лицо, отвечающее за материа</w:t>
      </w:r>
      <w:r>
        <w:t xml:space="preserve">льные ценности, в отношении которых принимается решение о списании.</w:t>
      </w:r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Решение комиссии оформляется протоколом, который подписывают председатель и члены комиссии, присутствовавшие на заседании.</w:t>
      </w:r>
      <w:r/>
    </w:p>
    <w:p>
      <w:pPr>
        <w:pStyle w:val="838"/>
        <w:ind w:left="0"/>
        <w:keepLines/>
        <w:keepNext/>
        <w:spacing w:before="120" w:after="120"/>
        <w:shd w:val="clear" w:color="auto" w:fill="auto"/>
      </w:pPr>
      <w:r/>
      <w:bookmarkStart w:id="4" w:name="bookmark4"/>
      <w:r/>
      <w:bookmarkStart w:id="5" w:name="bookmark5"/>
      <w:r>
        <w:t xml:space="preserve">Принятие решений по поступлению активов</w:t>
      </w:r>
      <w:bookmarkEnd w:id="4"/>
      <w:r/>
      <w:bookmarkEnd w:id="5"/>
      <w:r/>
      <w:r/>
    </w:p>
    <w:p>
      <w:pPr>
        <w:pStyle w:val="837"/>
        <w:ind w:firstLine="500"/>
        <w:jc w:val="both"/>
        <w:spacing w:after="0"/>
        <w:shd w:val="clear" w:color="auto" w:fill="auto"/>
      </w:pPr>
      <w:r>
        <w:t xml:space="preserve">В части поступления актив</w:t>
      </w:r>
      <w:r>
        <w:t xml:space="preserve">ов комиссия принимает решения по следующим вопросам: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731" w:leader="none"/>
        </w:tabs>
      </w:pPr>
      <w:r>
        <w:t xml:space="preserve">физическое принятие активов в случаях, прямо предусмотренных внутренними актами организации;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736" w:leader="none"/>
        </w:tabs>
      </w:pPr>
      <w:r>
        <w:t xml:space="preserve">определение категории нефинансовых активов (основные средства, нематериальные активы, непроизведенные</w:t>
      </w:r>
      <w:r>
        <w:t xml:space="preserve"> активы или материальные запасы), к которой относится поступившее имущество;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740" w:leader="none"/>
        </w:tabs>
      </w:pPr>
      <w:r>
        <w:t xml:space="preserve">выбор метода определения справедливой стоимости имущества в случаях, установленных нормативными актами и (или) Учетной политикой;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731" w:leader="none"/>
        </w:tabs>
      </w:pPr>
      <w:r>
        <w:t xml:space="preserve">определение справедливой стоимости безвозмездно п</w:t>
      </w:r>
      <w:r>
        <w:t xml:space="preserve">олученного и иного имущества в случаях, установленных нормативными актами и (или) Учетной политикой;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740" w:leader="none"/>
        </w:tabs>
      </w:pPr>
      <w:r>
        <w:t xml:space="preserve">определение первоначальной стоимости и метода амортизации поступивших объектов нефинансовых активов;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726" w:leader="none"/>
        </w:tabs>
      </w:pPr>
      <w:r>
        <w:t xml:space="preserve">определение срока полезного использования имущества в </w:t>
      </w:r>
      <w:r>
        <w:t xml:space="preserve">целях начисления по нему амортизации в случаях отсутствия информации в законодательстве РФ и документах производителя;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726" w:leader="none"/>
        </w:tabs>
      </w:pPr>
      <w:r>
        <w:t xml:space="preserve">определение величин оценочных резервов в случаях, установленных нормативными актами и (или) Учетной политикой;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697" w:leader="none"/>
        </w:tabs>
      </w:pPr>
      <w:r>
        <w:t xml:space="preserve">изменение первоначально пр</w:t>
      </w:r>
      <w:r>
        <w:t xml:space="preserve">инятых нормативных показателей функционирования объекта основных средств, в том числе в результате проведенных достройки, дооборудования, реконструкции или модернизации.</w:t>
      </w:r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Решение о первоначальной стоимости объектов нефинансовых активов при их приобретении, </w:t>
      </w:r>
      <w:r>
        <w:t xml:space="preserve">сооружении, изготовлении (создании) принимается комиссией на основании контрактов, договоров, актов приемки-сдачи выполненных работ, накладных и других сопроводительных документов поставщика.</w:t>
      </w:r>
      <w:r/>
    </w:p>
    <w:p>
      <w:pPr>
        <w:pStyle w:val="837"/>
        <w:ind w:firstLine="520"/>
        <w:jc w:val="both"/>
        <w:spacing w:after="0"/>
        <w:shd w:val="clear" w:color="auto" w:fill="auto"/>
        <w:tabs>
          <w:tab w:val="left" w:pos="9067" w:leader="none"/>
        </w:tabs>
      </w:pPr>
      <w:r>
        <w:t xml:space="preserve">Первоначальной стоимостью нефинансовых активов, поступивших по договорам дарения, пожертвования, признается их справедливая стоимость на дату принятия к бюджетному учету.</w:t>
      </w:r>
      <w:r>
        <w:tab/>
        <w:t xml:space="preserve">.</w:t>
      </w:r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Первоначальной стоимостью нефинансовых активов, оприходованных в виде излишков, выя</w:t>
      </w:r>
      <w:r>
        <w:t xml:space="preserve">вленных при инвентаризации, признается их справедливая стоимость на дату принятия к бюджетному учету.</w:t>
      </w:r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Размер ущерба от недостач, хищений, подлежащих возмещению виновными лицами, определяется как справедливая стоимость имущества на день обнаружения ущерба.</w:t>
      </w:r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Справедливая стоимость имущества определяется комиссией по поступлению и выбытию </w:t>
      </w:r>
      <w:r>
        <w:t xml:space="preserve">активов методом рыночных цен, а при невозможности использовать его - методом амортизированной стоимости замещения.</w:t>
      </w:r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Размер ущерба в виде потерь от порчи материальных ценностей,</w:t>
      </w:r>
      <w:r>
        <w:t xml:space="preserve"> других сумм причиненного ущерба имуществу определяется как стоимость восстановления (воспроизводства) испорченного имущества.</w:t>
      </w:r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В случае достройки, реконструкции, модернизации объектов основных средств производится увеличение их первоначальной стоимости на </w:t>
      </w:r>
      <w:r>
        <w:t xml:space="preserve">сумму сформированных капитальных вложений в эти объекты.</w:t>
      </w:r>
      <w:r/>
    </w:p>
    <w:p>
      <w:pPr>
        <w:pStyle w:val="837"/>
        <w:ind w:firstLine="520"/>
        <w:jc w:val="both"/>
        <w:spacing w:after="0"/>
        <w:shd w:val="clear" w:color="auto" w:fill="auto"/>
        <w:tabs>
          <w:tab w:val="left" w:pos="6696" w:leader="none"/>
          <w:tab w:val="left" w:pos="7886" w:leader="none"/>
        </w:tabs>
      </w:pPr>
      <w:r>
        <w:t xml:space="preserve">Прием объектов основных средств из ремонта, реконструкции, модернизации комиссия оформляет Актом приема-сдачи отремонтированных, реконструированных и модернизированных объектов основных средств (ф. 0</w:t>
      </w:r>
      <w:r>
        <w:t xml:space="preserve">504103). Частичная ликвидация объекта основных средств при выполнении работ по его реконструкции оформляется Актом приема-сдачи отремонтированных, реконструированных и модернизированных объектов основных средств (ф. 0504103).</w:t>
      </w:r>
      <w:r>
        <w:tab/>
      </w:r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Поступление нефинансовых акти</w:t>
      </w:r>
      <w:r>
        <w:t xml:space="preserve">вов комиссия оформляет следующими первичными учетными документами;</w:t>
      </w:r>
      <w:r/>
    </w:p>
    <w:p>
      <w:pPr>
        <w:pStyle w:val="837"/>
        <w:numPr>
          <w:ilvl w:val="0"/>
          <w:numId w:val="1"/>
        </w:numPr>
        <w:ind w:firstLine="500"/>
        <w:jc w:val="both"/>
        <w:spacing w:after="0"/>
        <w:shd w:val="clear" w:color="auto" w:fill="auto"/>
        <w:tabs>
          <w:tab w:val="left" w:pos="707" w:leader="none"/>
        </w:tabs>
      </w:pPr>
      <w:r>
        <w:t xml:space="preserve">Актом о приеме-передаче объектов нефинансовых активов (ф. 0504101):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692" w:leader="none"/>
        </w:tabs>
      </w:pPr>
      <w:r>
        <w:t xml:space="preserve">Приходным ордером на приемку материальных ценностей (нефинансовых активов) (Ф. 0504207):</w:t>
      </w:r>
      <w:r/>
    </w:p>
    <w:p>
      <w:pPr>
        <w:pStyle w:val="837"/>
        <w:numPr>
          <w:ilvl w:val="0"/>
          <w:numId w:val="1"/>
        </w:numPr>
        <w:ind w:firstLine="500"/>
        <w:jc w:val="both"/>
        <w:spacing w:after="0"/>
        <w:shd w:val="clear" w:color="auto" w:fill="auto"/>
        <w:tabs>
          <w:tab w:val="left" w:pos="707" w:leader="none"/>
        </w:tabs>
      </w:pPr>
      <w:r>
        <w:t xml:space="preserve">Актом приемки материалов (матери</w:t>
      </w:r>
      <w:r>
        <w:t xml:space="preserve">альных ценностей) (ф, 0504220).</w:t>
      </w:r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</w:t>
      </w:r>
      <w:r>
        <w:t xml:space="preserve">ользования по этому объекту комиссией пересматривается.</w:t>
      </w:r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Присвоенный объекту инвентарный номер наносится материально ответственным лицом в присутствии уполномоченного члена комиссии в порядке, определенном Учетной политикой.</w:t>
      </w:r>
      <w:r/>
    </w:p>
    <w:p>
      <w:pPr>
        <w:pStyle w:val="838"/>
        <w:ind w:left="-227" w:hanging="482"/>
        <w:keepLines/>
        <w:keepNext/>
        <w:spacing w:before="120" w:after="120"/>
        <w:shd w:val="clear" w:color="auto" w:fill="auto"/>
      </w:pPr>
      <w:r/>
      <w:bookmarkStart w:id="6" w:name="bookmark6"/>
      <w:r/>
      <w:bookmarkStart w:id="7" w:name="bookmark7"/>
      <w:r>
        <w:t xml:space="preserve">Принятие решений по выбытию (списанию) активов и списанию задолженности неплатежеспособных дебиторов</w:t>
      </w:r>
      <w:bookmarkEnd w:id="6"/>
      <w:r/>
      <w:bookmarkEnd w:id="7"/>
      <w:r/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В части выбытия (списания) активов и задолженности комиссия принимает решения по следующим вопросам: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712" w:leader="none"/>
        </w:tabs>
        <w:rPr>
          <w:sz w:val="22"/>
          <w:szCs w:val="22"/>
        </w:rPr>
      </w:pPr>
      <w:r>
        <w:t xml:space="preserve">о выбытии (списании) нефинансовых активов (в том числе</w:t>
      </w:r>
      <w:r>
        <w:t xml:space="preserve"> объектов движимого имущества стоимостью до</w:t>
      </w:r>
      <w:r>
        <w:rPr>
          <w:highlight w:val="none"/>
        </w:rPr>
        <w:t xml:space="preserve"> </w:t>
      </w:r>
      <w:r>
        <w:rPr>
          <w:highlight w:val="none"/>
        </w:rPr>
        <w:t xml:space="preserve">10 000</w:t>
      </w:r>
      <w:r>
        <w:rPr>
          <w:highlight w:val="none"/>
        </w:rPr>
        <w:t xml:space="preserve"> ру</w:t>
      </w:r>
      <w:r>
        <w:t xml:space="preserve">б. включительно, учитываемых на забалансовом счете 21</w:t>
      </w:r>
      <w:r>
        <w:rPr>
          <w:rFonts w:ascii="Sylfaen" w:hAnsi="Sylfaen" w:eastAsia="Sylfaen" w:cs="Sylfaen"/>
          <w:sz w:val="22"/>
          <w:szCs w:val="22"/>
        </w:rPr>
        <w:t xml:space="preserve">);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712" w:leader="none"/>
        </w:tabs>
      </w:pPr>
      <w:r>
        <w:t xml:space="preserve">о возможности использовать отдельные узлы, детали, конструкции и материалы, полученные в результате списания объектов нефинансовых активов;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707" w:leader="none"/>
        </w:tabs>
      </w:pPr>
      <w:r>
        <w:t xml:space="preserve">о части</w:t>
      </w:r>
      <w:r>
        <w:t xml:space="preserve">чной ликвидации (разукомплектации) основных средств и об определении стоимости выбывающей части актива при его частичной ликвидации;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888" w:leader="none"/>
        </w:tabs>
      </w:pPr>
      <w:r>
        <w:t xml:space="preserve">о пригодности дальнейшего использования имущества, возможности и эффективности его восстановления;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712" w:leader="none"/>
        </w:tabs>
      </w:pPr>
      <w:r>
        <w:t xml:space="preserve">о списании задолженности</w:t>
      </w:r>
      <w:r>
        <w:t xml:space="preserve"> неплатежеспособных дебиторов, а также списании с забалансового учета задолженности, признанной безнадежной к взысканию.</w:t>
      </w:r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Решение о выбытии имущества принимается, если оно: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721" w:leader="none"/>
        </w:tabs>
      </w:pPr>
      <w:r>
        <w:t xml:space="preserve">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888" w:leader="none"/>
        </w:tabs>
      </w:pPr>
      <w:r>
        <w:t xml:space="preserve">выбыло из владения, пользования, распоряжения вследствие гибели или уничтожения, </w:t>
      </w:r>
      <w:r>
        <w:t xml:space="preserve">в том числе в результате хищения, недостачи, порчи, выявленных при инвентаризации, а также если невозможно выяснить его местонахождение;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888" w:leader="none"/>
        </w:tabs>
      </w:pPr>
      <w:r>
        <w:t xml:space="preserve">передается государственному (муниципальному) учреждению, органу государственной власти, местного самоуправления, госуда</w:t>
      </w:r>
      <w:r>
        <w:t xml:space="preserve">рственному (муниципальному) предприятию;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737" w:leader="none"/>
        </w:tabs>
      </w:pPr>
      <w:r>
        <w:t xml:space="preserve">в других случаях, предусмотренных законодательством РФ.</w:t>
      </w:r>
      <w:r/>
    </w:p>
    <w:p>
      <w:pPr>
        <w:pStyle w:val="837"/>
        <w:ind w:firstLine="520"/>
        <w:jc w:val="both"/>
        <w:spacing w:after="0"/>
        <w:shd w:val="clear" w:color="auto" w:fill="auto"/>
        <w:tabs>
          <w:tab w:val="left" w:pos="5688" w:leader="none"/>
        </w:tabs>
      </w:pPr>
      <w:r>
        <w:t xml:space="preserve">Решение о списании имущества принимается комиссией после проведения следующих мероприятий:</w:t>
      </w:r>
      <w:r>
        <w:tab/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721" w:leader="none"/>
        </w:tabs>
      </w:pPr>
      <w:r>
        <w:t xml:space="preserve">осмотр имущества, подлежащего списанию (при наличии такой возможности), с учетом данных, содержащихся в учетно-технической и иной документации;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716" w:leader="none"/>
        </w:tabs>
      </w:pPr>
      <w:r>
        <w:t xml:space="preserve">установление причин списания имущества: физический и (или) моральный износ, нарушение условий содержания и (или)</w:t>
      </w:r>
      <w:r>
        <w:t xml:space="preserve"> эксплуатации, авария, стихийное бедствие, длительное неиспользование имущества, иные причины;</w:t>
      </w:r>
      <w:r/>
    </w:p>
    <w:p>
      <w:pPr>
        <w:pStyle w:val="837"/>
        <w:numPr>
          <w:ilvl w:val="0"/>
          <w:numId w:val="1"/>
        </w:numPr>
        <w:ind w:firstLine="500"/>
        <w:jc w:val="both"/>
        <w:spacing w:after="0"/>
        <w:shd w:val="clear" w:color="auto" w:fill="auto"/>
        <w:tabs>
          <w:tab w:val="left" w:pos="722" w:leader="none"/>
        </w:tabs>
      </w:pPr>
      <w:r>
        <w:t xml:space="preserve">установление виновных лиц, действия которых привели к необходимости списать;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712" w:leader="none"/>
        </w:tabs>
      </w:pPr>
      <w:r>
        <w:t xml:space="preserve">подготовка документов, необходимых для принятия решения о списании имущества.</w:t>
      </w:r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В случ</w:t>
      </w:r>
      <w:r>
        <w:t xml:space="preserve">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учет.</w:t>
      </w:r>
      <w:r/>
    </w:p>
    <w:p>
      <w:pPr>
        <w:pStyle w:val="837"/>
        <w:ind w:firstLine="520"/>
        <w:jc w:val="both"/>
        <w:spacing w:after="0"/>
        <w:shd w:val="clear" w:color="auto" w:fill="auto"/>
      </w:pPr>
      <w:r>
        <w:t xml:space="preserve">Решение о списании задолженности с забалансового счета 04 комиссия принимает при признании задолж</w:t>
      </w:r>
      <w:r>
        <w:t xml:space="preserve">енности безнадежной к взысканию после проверки документов, необходимых для списания задолженности неплатежеспособных дебиторов.</w:t>
      </w:r>
      <w:r/>
    </w:p>
    <w:p>
      <w:pPr>
        <w:pStyle w:val="837"/>
        <w:ind w:firstLine="500"/>
        <w:jc w:val="both"/>
        <w:spacing w:after="0"/>
        <w:shd w:val="clear" w:color="auto" w:fill="auto"/>
      </w:pPr>
      <w:r>
        <w:t xml:space="preserve">Выбытие (списание) нефинансовых активов оформляется следующими документами;</w:t>
      </w:r>
      <w:r/>
    </w:p>
    <w:p>
      <w:pPr>
        <w:pStyle w:val="837"/>
        <w:numPr>
          <w:ilvl w:val="0"/>
          <w:numId w:val="1"/>
        </w:numPr>
        <w:ind w:firstLine="520"/>
        <w:jc w:val="both"/>
        <w:spacing w:after="0"/>
        <w:shd w:val="clear" w:color="auto" w:fill="auto"/>
        <w:tabs>
          <w:tab w:val="left" w:pos="736" w:leader="none"/>
        </w:tabs>
      </w:pPr>
      <w:r>
        <w:t xml:space="preserve">Акт о приеме-передаче объектов нефинансовых </w:t>
      </w:r>
      <w:r>
        <w:t xml:space="preserve">активов (ф. 0504101):</w:t>
      </w:r>
      <w:r/>
    </w:p>
    <w:p>
      <w:pPr>
        <w:pStyle w:val="837"/>
        <w:numPr>
          <w:ilvl w:val="0"/>
          <w:numId w:val="1"/>
        </w:numPr>
        <w:ind w:firstLine="540"/>
        <w:jc w:val="both"/>
        <w:spacing w:after="0"/>
        <w:shd w:val="clear" w:color="auto" w:fill="auto"/>
        <w:tabs>
          <w:tab w:val="left" w:pos="702" w:leader="none"/>
        </w:tabs>
      </w:pPr>
      <w:r>
        <w:t xml:space="preserve">Акт о списании объектов нефинансовых активов (кроме транспортных средств) (ф, 0504104);</w:t>
      </w:r>
      <w:r/>
    </w:p>
    <w:p>
      <w:pPr>
        <w:pStyle w:val="837"/>
        <w:numPr>
          <w:ilvl w:val="0"/>
          <w:numId w:val="1"/>
        </w:numPr>
        <w:ind w:firstLine="540"/>
        <w:jc w:val="both"/>
        <w:spacing w:after="0"/>
        <w:shd w:val="clear" w:color="auto" w:fill="auto"/>
        <w:tabs>
          <w:tab w:val="left" w:pos="756" w:leader="none"/>
        </w:tabs>
      </w:pPr>
      <w:r>
        <w:t xml:space="preserve">Акт о списании транспортного средства (ф. 0504105);</w:t>
      </w:r>
      <w:r/>
    </w:p>
    <w:p>
      <w:pPr>
        <w:pStyle w:val="837"/>
        <w:numPr>
          <w:ilvl w:val="0"/>
          <w:numId w:val="1"/>
        </w:numPr>
        <w:ind w:firstLine="540"/>
        <w:jc w:val="both"/>
        <w:spacing w:after="0"/>
        <w:shd w:val="clear" w:color="auto" w:fill="auto"/>
        <w:tabs>
          <w:tab w:val="left" w:pos="756" w:leader="none"/>
        </w:tabs>
      </w:pPr>
      <w:r>
        <w:t xml:space="preserve">Акт о списании мягкого и хозяйственного инвентаря (ф. 0504143);</w:t>
      </w:r>
      <w:r/>
    </w:p>
    <w:p>
      <w:pPr>
        <w:pStyle w:val="837"/>
        <w:numPr>
          <w:ilvl w:val="0"/>
          <w:numId w:val="1"/>
        </w:numPr>
        <w:ind w:firstLine="540"/>
        <w:jc w:val="both"/>
        <w:spacing w:after="0"/>
        <w:shd w:val="clear" w:color="auto" w:fill="auto"/>
        <w:tabs>
          <w:tab w:val="left" w:pos="756" w:leader="none"/>
        </w:tabs>
      </w:pPr>
      <w:r>
        <w:t xml:space="preserve">Акт о списании материальных за</w:t>
      </w:r>
      <w:r>
        <w:t xml:space="preserve">пасов (ф. 0504230).</w:t>
      </w:r>
      <w:r/>
    </w:p>
    <w:p>
      <w:pPr>
        <w:pStyle w:val="837"/>
        <w:ind w:firstLine="540"/>
        <w:jc w:val="both"/>
        <w:spacing w:after="0"/>
        <w:shd w:val="clear" w:color="auto" w:fill="auto"/>
      </w:pPr>
      <w:r>
        <w:t xml:space="preserve">Оформленный комиссией акт о списании имущества утверждается руководителем.</w:t>
      </w:r>
      <w:r/>
    </w:p>
    <w:p>
      <w:pPr>
        <w:pStyle w:val="837"/>
        <w:ind w:firstLine="540"/>
        <w:jc w:val="both"/>
        <w:spacing w:after="0"/>
        <w:shd w:val="clear" w:color="auto" w:fill="auto"/>
      </w:pPr>
      <w:r>
        <w:t xml:space="preserve">До утверждения в установленном порядке акта о списании реализация мероприятий, предусмотренных этим актом, не допускается.</w:t>
      </w:r>
      <w:r/>
    </w:p>
    <w:p>
      <w:pPr>
        <w:pStyle w:val="837"/>
        <w:ind w:firstLine="540"/>
        <w:jc w:val="both"/>
        <w:spacing w:after="0"/>
        <w:shd w:val="clear" w:color="auto" w:fill="auto"/>
      </w:pPr>
      <w:r>
        <w:t xml:space="preserve">Реализация мероприятий осуществляется </w:t>
      </w:r>
      <w:r>
        <w:t xml:space="preserve">самостоятельно либо с привлечением третьих лиц на основании заключенного договора и подтверждается комиссией.</w:t>
      </w:r>
      <w:r/>
    </w:p>
    <w:p>
      <w:pPr>
        <w:pStyle w:val="837"/>
        <w:ind w:firstLine="0"/>
        <w:jc w:val="center"/>
        <w:spacing w:before="120" w:after="120"/>
        <w:shd w:val="clear" w:color="auto" w:fill="auto"/>
      </w:pPr>
      <w:r>
        <w:rPr>
          <w:b/>
          <w:bCs/>
        </w:rPr>
        <w:t xml:space="preserve">Принятие решений по вопросам обесценения активов</w:t>
      </w:r>
      <w:r/>
    </w:p>
    <w:p>
      <w:pPr>
        <w:pStyle w:val="837"/>
        <w:ind w:firstLine="540"/>
        <w:jc w:val="both"/>
        <w:spacing w:after="0"/>
        <w:shd w:val="clear" w:color="auto" w:fill="auto"/>
      </w:pPr>
      <w:r>
        <w:t xml:space="preserve">При выявлении признаков возможного обесценения (снижения убытка) соответствующие обстоятельства р</w:t>
      </w:r>
      <w:r>
        <w:t xml:space="preserve">ассматриваются комиссией по поступлению и выбытию активов.</w:t>
      </w:r>
      <w:r/>
    </w:p>
    <w:p>
      <w:pPr>
        <w:pStyle w:val="837"/>
        <w:ind w:firstLine="540"/>
        <w:jc w:val="both"/>
        <w:spacing w:after="0"/>
        <w:shd w:val="clear" w:color="auto" w:fill="auto"/>
      </w:pPr>
      <w:r>
        <w:t xml:space="preserve">Если по результатам рассмотрения выявленные признаки обесценения (снижения убытка) признаны существенными, комиссия выносит заключение- о необходимости определить справедливую стоимость каждого акт</w:t>
      </w:r>
      <w:r>
        <w:t xml:space="preserve">ива, по которому выявлены признаки возможного обесценения (снижения убытка), или об отсутствии такой необходимости.</w:t>
      </w:r>
      <w:r/>
    </w:p>
    <w:p>
      <w:pPr>
        <w:pStyle w:val="837"/>
        <w:ind w:firstLine="540"/>
        <w:jc w:val="both"/>
        <w:spacing w:after="0"/>
        <w:shd w:val="clear" w:color="auto" w:fill="auto"/>
      </w:pPr>
      <w:r>
        <w:t xml:space="preserve">Если выявленные признаки обесценения (снижения убытка) являются несущественными, комиссия выносит заключение об отсутствии необходимости опр</w:t>
      </w:r>
      <w:r>
        <w:t xml:space="preserve">еделять справедливую стоимость,</w:t>
      </w:r>
      <w:r/>
    </w:p>
    <w:p>
      <w:pPr>
        <w:pStyle w:val="837"/>
        <w:ind w:firstLine="540"/>
        <w:jc w:val="both"/>
        <w:spacing w:after="0"/>
        <w:shd w:val="clear" w:color="auto" w:fill="auto"/>
      </w:pPr>
      <w:r>
        <w:t xml:space="preserve">В случае необходимости определить справедливую стоимость комиссия утверждает метод., который будет при этом использоваться.</w:t>
      </w:r>
      <w:r/>
    </w:p>
    <w:p>
      <w:pPr>
        <w:pStyle w:val="837"/>
        <w:ind w:firstLine="540"/>
        <w:jc w:val="both"/>
        <w:spacing w:after="0"/>
        <w:shd w:val="clear" w:color="auto" w:fill="auto"/>
      </w:pPr>
      <w:r>
        <w:t xml:space="preserve">Заключение о необходимости (отсутствии необходимости) определить справедливую стоимость и о применяемом для этого методе оформляется в виде представления для руководителя.</w:t>
      </w:r>
      <w:r/>
    </w:p>
    <w:p>
      <w:pPr>
        <w:pStyle w:val="837"/>
        <w:ind w:firstLine="540"/>
        <w:jc w:val="both"/>
        <w:spacing w:after="0"/>
        <w:shd w:val="clear" w:color="auto" w:fill="auto"/>
      </w:pPr>
      <w:r>
        <w:t xml:space="preserve">В представление могут быть включены рекомендации, комиссии по дальнейшему использова</w:t>
      </w:r>
      <w:r>
        <w:t xml:space="preserve">нию имущества.</w:t>
      </w:r>
      <w:r/>
    </w:p>
    <w:p>
      <w:pPr>
        <w:pStyle w:val="837"/>
        <w:ind w:firstLine="540"/>
        <w:jc w:val="both"/>
        <w:spacing w:after="0"/>
        <w:shd w:val="clear" w:color="auto" w:fill="auto"/>
        <w:sectPr>
          <w:footnotePr/>
          <w:endnotePr/>
          <w:type w:val="nextPage"/>
          <w:pgSz w:w="11900" w:h="16840" w:orient="portrait"/>
          <w:pgMar w:top="567" w:right="567" w:bottom="567" w:left="1134" w:header="726" w:footer="573" w:gutter="0"/>
          <w:pgNumType w:start="1"/>
          <w:cols w:num="1" w:sep="0" w:space="720" w:equalWidth="1"/>
          <w:docGrid w:linePitch="360"/>
        </w:sectPr>
      </w:pPr>
      <w:r>
        <w:t xml:space="preserve">Если выявлены признаки снижения убытка от обесценения, а сумма убытка не подлежит восстановлению, комиссия выносит заключение о необходимости (отсутствии необходимости) скорректировать оставшийся срок полезного испо</w:t>
      </w:r>
      <w:r>
        <w:t xml:space="preserve">льзования актива. Это заключение оформляется в виде представления для руководителя.</w:t>
      </w:r>
      <w:r/>
    </w:p>
    <w:p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</w:r>
      <w:r/>
    </w:p>
    <w:p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</w:r>
      <w:r/>
    </w:p>
    <w:p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</w:r>
      <w:r/>
    </w:p>
    <w:p>
      <w:pPr>
        <w:jc w:val="center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С.В.Ордина</w:t>
      </w:r>
      <w:bookmarkStart w:id="8" w:name="_GoBack"/>
      <w:r/>
      <w:bookmarkEnd w:id="8"/>
      <w:r/>
      <w:r/>
    </w:p>
    <w:p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="1" w:lineRule="exact"/>
        <w:rPr>
          <w:rFonts w:ascii="Times New Roman" w:hAnsi="Times New Roman" w:cs="Times New Roman"/>
        </w:rPr>
        <w:sectPr>
          <w:footnotePr/>
          <w:endnotePr/>
          <w:type w:val="continuous"/>
          <w:pgSz w:w="11900" w:h="16840" w:orient="portrait"/>
          <w:pgMar w:top="1170" w:right="0" w:bottom="1170" w:left="0" w:header="0" w:footer="3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</w:rPr>
      </w:r>
      <w:r/>
    </w:p>
    <w:p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="1" w:lineRule="exact"/>
      </w:pPr>
      <w:r/>
      <w:r/>
    </w:p>
    <w:sectPr>
      <w:footnotePr/>
      <w:endnotePr/>
      <w:type w:val="continuous"/>
      <w:pgSz w:w="11900" w:h="16840" w:orient="portrait"/>
      <w:pgMar w:top="1170" w:right="696" w:bottom="1170" w:left="1729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20B0502040504020204"/>
  </w:font>
  <w:font w:name="Times New Roman">
    <w:panose1 w:val="02020603050405020304"/>
  </w:font>
  <w:font w:name="Arial">
    <w:panose1 w:val="020B0604020202020204"/>
  </w:font>
  <w:font w:name="Courier New">
    <w:panose1 w:val="020704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3"/>
    <w:link w:val="677"/>
    <w:uiPriority w:val="10"/>
    <w:rPr>
      <w:sz w:val="48"/>
      <w:szCs w:val="48"/>
    </w:rPr>
  </w:style>
  <w:style w:type="character" w:styleId="646">
    <w:name w:val="Subtitle Char"/>
    <w:basedOn w:val="663"/>
    <w:link w:val="679"/>
    <w:uiPriority w:val="11"/>
    <w:rPr>
      <w:sz w:val="24"/>
      <w:szCs w:val="24"/>
    </w:rPr>
  </w:style>
  <w:style w:type="character" w:styleId="647">
    <w:name w:val="Quote Char"/>
    <w:link w:val="681"/>
    <w:uiPriority w:val="29"/>
    <w:rPr>
      <w:i/>
    </w:rPr>
  </w:style>
  <w:style w:type="character" w:styleId="648">
    <w:name w:val="Intense Quote Char"/>
    <w:link w:val="683"/>
    <w:uiPriority w:val="30"/>
    <w:rPr>
      <w:i/>
    </w:rPr>
  </w:style>
  <w:style w:type="character" w:styleId="649">
    <w:name w:val="Header Char"/>
    <w:basedOn w:val="663"/>
    <w:link w:val="685"/>
    <w:uiPriority w:val="99"/>
  </w:style>
  <w:style w:type="character" w:styleId="650">
    <w:name w:val="Caption Char"/>
    <w:basedOn w:val="689"/>
    <w:link w:val="687"/>
    <w:uiPriority w:val="99"/>
  </w:style>
  <w:style w:type="character" w:styleId="651">
    <w:name w:val="Footnote Text Char"/>
    <w:link w:val="818"/>
    <w:uiPriority w:val="99"/>
    <w:rPr>
      <w:sz w:val="18"/>
    </w:rPr>
  </w:style>
  <w:style w:type="character" w:styleId="652">
    <w:name w:val="Endnote Text Char"/>
    <w:link w:val="821"/>
    <w:uiPriority w:val="99"/>
    <w:rPr>
      <w:sz w:val="20"/>
    </w:rPr>
  </w:style>
  <w:style w:type="paragraph" w:styleId="653" w:default="1">
    <w:name w:val="Normal"/>
    <w:rPr>
      <w:color w:val="000000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>
    <w:name w:val="Grid Table 5 Dark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 w:customStyle="1">
    <w:name w:val="Grid Table 6 Colorful - Accent 6"/>
    <w:basedOn w:val="66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>
    <w:name w:val="Grid Table 7 Colorful"/>
    <w:basedOn w:val="6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6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6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6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6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basedOn w:val="66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basedOn w:val="66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basedOn w:val="66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basedOn w:val="66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basedOn w:val="66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basedOn w:val="66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8" w:customStyle="1">
    <w:name w:val="Lined - Accent 2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2" w:customStyle="1">
    <w:name w:val="Lined - Accent 6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5" w:customStyle="1">
    <w:name w:val="Bordered &amp; Lined - Accent 2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9" w:customStyle="1">
    <w:name w:val="Bordered &amp; Lined - Accent 6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563c1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3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3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</w:style>
  <w:style w:type="character" w:styleId="835" w:customStyle="1">
    <w:name w:val="Основной текст_"/>
    <w:basedOn w:val="663"/>
    <w:link w:val="83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836" w:customStyle="1">
    <w:name w:val="Заголовок №1_"/>
    <w:basedOn w:val="663"/>
    <w:link w:val="83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paragraph" w:styleId="837" w:customStyle="1">
    <w:name w:val="Основной текст1"/>
    <w:basedOn w:val="653"/>
    <w:link w:val="835"/>
    <w:pPr>
      <w:ind w:firstLine="400"/>
      <w:spacing w:after="100"/>
      <w:shd w:val="clear" w:color="auto" w:fill="ffffff"/>
    </w:pPr>
    <w:rPr>
      <w:rFonts w:ascii="Times New Roman" w:hAnsi="Times New Roman" w:eastAsia="Times New Roman" w:cs="Times New Roman"/>
    </w:rPr>
  </w:style>
  <w:style w:type="paragraph" w:styleId="838" w:customStyle="1">
    <w:name w:val="Заголовок №1"/>
    <w:basedOn w:val="653"/>
    <w:link w:val="836"/>
    <w:pPr>
      <w:ind w:left="1490"/>
      <w:jc w:val="center"/>
      <w:spacing w:after="100"/>
      <w:shd w:val="clear" w:color="auto" w:fill="ffffff"/>
      <w:outlineLvl w:val="0"/>
    </w:pPr>
    <w:rPr>
      <w:rFonts w:ascii="Times New Roman" w:hAnsi="Times New Roman" w:eastAsia="Times New Roman" w:cs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glavbukh</dc:creator>
  <cp:keywords/>
  <dc:description/>
  <cp:revision>4</cp:revision>
  <dcterms:created xsi:type="dcterms:W3CDTF">2022-09-15T04:43:00Z</dcterms:created>
  <dcterms:modified xsi:type="dcterms:W3CDTF">2023-02-09T04:35:41Z</dcterms:modified>
</cp:coreProperties>
</file>